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C11CB0" w:rsidRDefault="00E15C2E" w:rsidP="00C11CB0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C11CB0" w:rsidRDefault="00C11CB0" w:rsidP="00C11CB0">
      <w:pPr>
        <w:rPr>
          <w:rFonts w:hint="cs"/>
          <w:rtl/>
        </w:rPr>
      </w:pPr>
    </w:p>
    <w:p w:rsidR="008D3B92" w:rsidRDefault="00BC5914" w:rsidP="00B21A23">
      <w:pPr>
        <w:bidi w:val="0"/>
        <w:spacing w:after="200" w:line="276" w:lineRule="auto"/>
        <w:jc w:val="right"/>
        <w:rPr>
          <w:rFonts w:hint="cs"/>
          <w:rtl/>
        </w:rPr>
      </w:pPr>
      <w:r>
        <w:rPr>
          <w:rFonts w:hint="cs"/>
          <w:noProof/>
          <w:rtl/>
        </w:rPr>
        <w:pict>
          <v:rect id="_x0000_s1045" style="position:absolute;left:0;text-align:left;margin-left:121.5pt;margin-top:15pt;width:303.75pt;height:46.5pt;z-index:-251655168"/>
        </w:pict>
      </w:r>
      <w:r>
        <w:rPr>
          <w:rFonts w:hint="cs"/>
          <w:rtl/>
        </w:rPr>
        <w:t xml:space="preserve"> </w:t>
      </w:r>
    </w:p>
    <w:p w:rsidR="00BC5914" w:rsidRPr="00BC5914" w:rsidRDefault="00BC5914" w:rsidP="00BC5914">
      <w:pPr>
        <w:rPr>
          <w:rFonts w:cs="PT Bold Heading"/>
          <w:sz w:val="32"/>
          <w:szCs w:val="32"/>
          <w:rtl/>
          <w:lang w:bidi="ar-KW"/>
        </w:rPr>
      </w:pPr>
      <w:r>
        <w:rPr>
          <w:rFonts w:hint="cs"/>
          <w:rtl/>
        </w:rPr>
        <w:t xml:space="preserve">                            </w:t>
      </w:r>
      <w:r w:rsidRPr="00BC5914">
        <w:rPr>
          <w:rFonts w:cs="PT Bold Heading" w:hint="cs"/>
          <w:sz w:val="32"/>
          <w:szCs w:val="32"/>
          <w:rtl/>
          <w:lang w:bidi="ar-KW"/>
        </w:rPr>
        <w:t xml:space="preserve"> </w:t>
      </w:r>
      <w:r w:rsidRPr="00BC5914">
        <w:rPr>
          <w:rFonts w:cs="PT Bold Heading"/>
          <w:sz w:val="32"/>
          <w:szCs w:val="32"/>
          <w:rtl/>
          <w:lang w:bidi="ar-KW"/>
        </w:rPr>
        <w:t xml:space="preserve">الشروط لحالات التحويل إلى لجنة الحالات الخاصة  </w:t>
      </w:r>
      <w:r>
        <w:rPr>
          <w:rFonts w:cs="PT Bold Heading" w:hint="cs"/>
          <w:sz w:val="32"/>
          <w:szCs w:val="32"/>
          <w:rtl/>
          <w:lang w:bidi="ar-KW"/>
        </w:rPr>
        <w:t xml:space="preserve"> </w:t>
      </w:r>
    </w:p>
    <w:p w:rsidR="00BC5914" w:rsidRPr="00C75509" w:rsidRDefault="00BC5914" w:rsidP="00BC5914">
      <w:pPr>
        <w:ind w:left="360"/>
        <w:rPr>
          <w:rFonts w:cs="PT Bold Heading"/>
          <w:sz w:val="32"/>
          <w:szCs w:val="32"/>
          <w:u w:val="single"/>
          <w:rtl/>
          <w:lang w:bidi="ar-KW"/>
        </w:rPr>
      </w:pPr>
    </w:p>
    <w:p w:rsidR="00BC5914" w:rsidRPr="00C75509" w:rsidRDefault="00BC5914" w:rsidP="00BC5914">
      <w:pPr>
        <w:pStyle w:val="a4"/>
        <w:numPr>
          <w:ilvl w:val="0"/>
          <w:numId w:val="7"/>
        </w:numPr>
        <w:spacing w:line="360" w:lineRule="auto"/>
        <w:rPr>
          <w:rFonts w:cs="Simplified Arabic"/>
          <w:b/>
          <w:bCs/>
          <w:sz w:val="32"/>
          <w:szCs w:val="32"/>
          <w:lang w:bidi="ar-KW"/>
        </w:rPr>
      </w:pPr>
      <w:r w:rsidRPr="00C75509">
        <w:rPr>
          <w:rFonts w:cs="Simplified Arabic"/>
          <w:b/>
          <w:bCs/>
          <w:sz w:val="32"/>
          <w:szCs w:val="32"/>
          <w:rtl/>
          <w:lang w:bidi="ar-KW"/>
        </w:rPr>
        <w:t>موافقة ولي الأمر .</w:t>
      </w:r>
    </w:p>
    <w:p w:rsidR="00BC5914" w:rsidRPr="00C75509" w:rsidRDefault="00BC5914" w:rsidP="00BC5914">
      <w:pPr>
        <w:pStyle w:val="a4"/>
        <w:numPr>
          <w:ilvl w:val="0"/>
          <w:numId w:val="7"/>
        </w:numPr>
        <w:spacing w:line="360" w:lineRule="auto"/>
        <w:rPr>
          <w:rFonts w:cs="Simplified Arabic"/>
          <w:b/>
          <w:bCs/>
          <w:sz w:val="32"/>
          <w:szCs w:val="32"/>
          <w:lang w:bidi="ar-KW"/>
        </w:rPr>
      </w:pPr>
      <w:r w:rsidRPr="00C75509">
        <w:rPr>
          <w:rFonts w:cs="Simplified Arabic"/>
          <w:b/>
          <w:bCs/>
          <w:sz w:val="32"/>
          <w:szCs w:val="32"/>
          <w:rtl/>
          <w:lang w:bidi="ar-KW"/>
        </w:rPr>
        <w:t xml:space="preserve">الحضانة </w:t>
      </w:r>
      <w:proofErr w:type="gramStart"/>
      <w:r w:rsidRPr="00C75509">
        <w:rPr>
          <w:rFonts w:cs="Simplified Arabic"/>
          <w:b/>
          <w:bCs/>
          <w:sz w:val="32"/>
          <w:szCs w:val="32"/>
          <w:rtl/>
          <w:lang w:bidi="ar-KW"/>
        </w:rPr>
        <w:t>التعليمية .</w:t>
      </w:r>
      <w:proofErr w:type="gramEnd"/>
    </w:p>
    <w:p w:rsidR="00BC5914" w:rsidRPr="00C75509" w:rsidRDefault="00BC5914" w:rsidP="00BC5914">
      <w:pPr>
        <w:pStyle w:val="a4"/>
        <w:numPr>
          <w:ilvl w:val="0"/>
          <w:numId w:val="7"/>
        </w:numPr>
        <w:spacing w:line="360" w:lineRule="auto"/>
        <w:rPr>
          <w:rFonts w:cs="Simplified Arabic"/>
          <w:b/>
          <w:bCs/>
          <w:sz w:val="32"/>
          <w:szCs w:val="32"/>
          <w:lang w:bidi="ar-KW"/>
        </w:rPr>
      </w:pPr>
      <w:r w:rsidRPr="00C75509">
        <w:rPr>
          <w:rFonts w:cs="Simplified Arabic"/>
          <w:b/>
          <w:bCs/>
          <w:sz w:val="32"/>
          <w:szCs w:val="32"/>
          <w:rtl/>
          <w:lang w:bidi="ar-KW"/>
        </w:rPr>
        <w:t>يعاد تطبيق الاختبارات ( إذا كانت هناك اختبارات قديمة  ) .</w:t>
      </w:r>
    </w:p>
    <w:p w:rsidR="00BC5914" w:rsidRPr="00C75509" w:rsidRDefault="00BC5914" w:rsidP="00BC5914">
      <w:pPr>
        <w:pStyle w:val="a4"/>
        <w:numPr>
          <w:ilvl w:val="0"/>
          <w:numId w:val="7"/>
        </w:numPr>
        <w:spacing w:line="360" w:lineRule="auto"/>
        <w:rPr>
          <w:rFonts w:cs="Simplified Arabic"/>
          <w:b/>
          <w:bCs/>
          <w:sz w:val="32"/>
          <w:szCs w:val="32"/>
          <w:lang w:bidi="ar-KW"/>
        </w:rPr>
      </w:pPr>
      <w:r w:rsidRPr="00C75509">
        <w:rPr>
          <w:rFonts w:cs="Simplified Arabic"/>
          <w:b/>
          <w:bCs/>
          <w:sz w:val="32"/>
          <w:szCs w:val="32"/>
          <w:rtl/>
          <w:lang w:bidi="ar-KW"/>
        </w:rPr>
        <w:t xml:space="preserve">بقاء عام </w:t>
      </w:r>
      <w:proofErr w:type="gramStart"/>
      <w:r w:rsidRPr="00C75509">
        <w:rPr>
          <w:rFonts w:cs="Simplified Arabic"/>
          <w:b/>
          <w:bCs/>
          <w:sz w:val="32"/>
          <w:szCs w:val="32"/>
          <w:rtl/>
          <w:lang w:bidi="ar-KW"/>
        </w:rPr>
        <w:t>ثالث  :</w:t>
      </w:r>
      <w:proofErr w:type="gramEnd"/>
      <w:r w:rsidRPr="00C75509">
        <w:rPr>
          <w:rFonts w:cs="Simplified Arabic"/>
          <w:b/>
          <w:bCs/>
          <w:sz w:val="32"/>
          <w:szCs w:val="32"/>
          <w:rtl/>
          <w:lang w:bidi="ar-KW"/>
        </w:rPr>
        <w:t xml:space="preserve"> لابد من تطبيق الاختبارات  ( قصيرة ) للحالات التي تعاني من قلة التركيز والانتباه وعدم التوافق .</w:t>
      </w:r>
    </w:p>
    <w:p w:rsidR="00BC5914" w:rsidRPr="00C75509" w:rsidRDefault="00BC5914" w:rsidP="00BC5914">
      <w:pPr>
        <w:pStyle w:val="a4"/>
        <w:numPr>
          <w:ilvl w:val="0"/>
          <w:numId w:val="7"/>
        </w:numPr>
        <w:spacing w:line="360" w:lineRule="auto"/>
        <w:rPr>
          <w:rFonts w:cs="Simplified Arabic"/>
          <w:b/>
          <w:bCs/>
          <w:sz w:val="32"/>
          <w:szCs w:val="32"/>
          <w:lang w:bidi="ar-KW"/>
        </w:rPr>
      </w:pPr>
      <w:r w:rsidRPr="00C75509">
        <w:rPr>
          <w:rFonts w:cs="Simplified Arabic"/>
          <w:b/>
          <w:bCs/>
          <w:sz w:val="32"/>
          <w:szCs w:val="32"/>
          <w:rtl/>
          <w:lang w:bidi="ar-KW"/>
        </w:rPr>
        <w:t xml:space="preserve">الحالات التي تحول عن طريق اللجنة إلى قسم علاج الحالات النفسية التخصصية تتابع من قبل الباحث النفسي وليس عضو </w:t>
      </w:r>
      <w:proofErr w:type="gramStart"/>
      <w:r w:rsidRPr="00C75509">
        <w:rPr>
          <w:rFonts w:cs="Simplified Arabic"/>
          <w:b/>
          <w:bCs/>
          <w:sz w:val="32"/>
          <w:szCs w:val="32"/>
          <w:rtl/>
          <w:lang w:bidi="ar-KW"/>
        </w:rPr>
        <w:t>اللجنة  .</w:t>
      </w:r>
      <w:proofErr w:type="gramEnd"/>
    </w:p>
    <w:p w:rsidR="00BC5914" w:rsidRDefault="00BC5914" w:rsidP="00BC5914">
      <w:pPr>
        <w:pStyle w:val="a4"/>
        <w:numPr>
          <w:ilvl w:val="0"/>
          <w:numId w:val="7"/>
        </w:numPr>
        <w:spacing w:line="360" w:lineRule="auto"/>
        <w:rPr>
          <w:rFonts w:cs="Simplified Arabic"/>
          <w:b/>
          <w:bCs/>
          <w:sz w:val="32"/>
          <w:szCs w:val="32"/>
          <w:lang w:bidi="ar-KW"/>
        </w:rPr>
      </w:pPr>
      <w:r w:rsidRPr="00C75509">
        <w:rPr>
          <w:rFonts w:cs="Simplified Arabic"/>
          <w:b/>
          <w:bCs/>
          <w:sz w:val="32"/>
          <w:szCs w:val="32"/>
          <w:rtl/>
          <w:lang w:bidi="ar-KW"/>
        </w:rPr>
        <w:t xml:space="preserve">تقرير نفسي رقم ( 3) لكل الحالات . </w:t>
      </w:r>
    </w:p>
    <w:p w:rsidR="00BC5914" w:rsidRDefault="00BC5914" w:rsidP="00BC5914">
      <w:pPr>
        <w:pStyle w:val="a4"/>
        <w:numPr>
          <w:ilvl w:val="0"/>
          <w:numId w:val="7"/>
        </w:numPr>
        <w:spacing w:line="360" w:lineRule="auto"/>
        <w:rPr>
          <w:rFonts w:cs="Simplified Arabic"/>
          <w:b/>
          <w:bCs/>
          <w:sz w:val="32"/>
          <w:szCs w:val="32"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كتابة التقرير النفسي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KW"/>
        </w:rPr>
        <w:t>المفصل .</w:t>
      </w:r>
      <w:proofErr w:type="gramEnd"/>
    </w:p>
    <w:p w:rsidR="00BC5914" w:rsidRDefault="00BC5914" w:rsidP="00BC5914">
      <w:pPr>
        <w:spacing w:line="360" w:lineRule="auto"/>
        <w:rPr>
          <w:rFonts w:cs="Simplified Arabic"/>
          <w:b/>
          <w:bCs/>
          <w:sz w:val="32"/>
          <w:szCs w:val="32"/>
          <w:rtl/>
          <w:lang w:bidi="ar-KW"/>
        </w:rPr>
      </w:pPr>
    </w:p>
    <w:p w:rsidR="00BC5914" w:rsidRDefault="00BC5914" w:rsidP="00BC5914">
      <w:pPr>
        <w:spacing w:line="360" w:lineRule="auto"/>
        <w:rPr>
          <w:rFonts w:cs="Simplified Arabic"/>
          <w:b/>
          <w:bCs/>
          <w:sz w:val="32"/>
          <w:szCs w:val="32"/>
          <w:rtl/>
          <w:lang w:bidi="ar-KW"/>
        </w:rPr>
      </w:pPr>
    </w:p>
    <w:p w:rsidR="00BC5914" w:rsidRDefault="00BC5914" w:rsidP="00BC5914">
      <w:pPr>
        <w:bidi w:val="0"/>
        <w:spacing w:after="200" w:line="276" w:lineRule="auto"/>
        <w:jc w:val="center"/>
        <w:rPr>
          <w:rFonts w:cs="Simplified Arabic"/>
          <w:sz w:val="32"/>
          <w:szCs w:val="32"/>
          <w:lang w:bidi="ar-KW"/>
        </w:rPr>
      </w:pPr>
    </w:p>
    <w:p w:rsidR="00CF2653" w:rsidRPr="008D3B92" w:rsidRDefault="00CF2653" w:rsidP="00AE73B8">
      <w:pPr>
        <w:rPr>
          <w:sz w:val="28"/>
          <w:szCs w:val="28"/>
        </w:rPr>
      </w:pPr>
    </w:p>
    <w:sectPr w:rsidR="00CF2653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E4641"/>
    <w:rsid w:val="00242DB0"/>
    <w:rsid w:val="002A3145"/>
    <w:rsid w:val="002C415B"/>
    <w:rsid w:val="002D3A1A"/>
    <w:rsid w:val="00461683"/>
    <w:rsid w:val="0053336D"/>
    <w:rsid w:val="00671CFA"/>
    <w:rsid w:val="00734EE9"/>
    <w:rsid w:val="00737761"/>
    <w:rsid w:val="007451BB"/>
    <w:rsid w:val="00855964"/>
    <w:rsid w:val="008A6625"/>
    <w:rsid w:val="008D3B92"/>
    <w:rsid w:val="00A87287"/>
    <w:rsid w:val="00AE73B8"/>
    <w:rsid w:val="00B21A23"/>
    <w:rsid w:val="00BC5914"/>
    <w:rsid w:val="00C11CB0"/>
    <w:rsid w:val="00C3117C"/>
    <w:rsid w:val="00CF2653"/>
    <w:rsid w:val="00D95EC6"/>
    <w:rsid w:val="00DF1D95"/>
    <w:rsid w:val="00E15C2E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2014-10-18T17:24:00Z</dcterms:created>
  <dcterms:modified xsi:type="dcterms:W3CDTF">2014-10-18T17:24:00Z</dcterms:modified>
</cp:coreProperties>
</file>